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97" w:rsidRDefault="00E56697" w:rsidP="00E56697">
      <w:pPr>
        <w:jc w:val="center"/>
      </w:pPr>
      <w:r w:rsidRPr="00B116CA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5.65pt;width:480pt;height:47.5pt;z-index:251660288" stroked="f">
            <v:textbox>
              <w:txbxContent>
                <w:p w:rsidR="00E56697" w:rsidRPr="0031152F" w:rsidRDefault="00E56697" w:rsidP="00E56697">
                  <w:pPr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UdC_IRC-14_02_003</w:t>
                  </w:r>
                  <w:r w:rsidRPr="0031152F">
                    <w:rPr>
                      <w:rFonts w:ascii="Garamond" w:hAnsi="Garamond"/>
                      <w:sz w:val="32"/>
                      <w:szCs w:val="32"/>
                    </w:rPr>
                    <w:t>00_2016_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Pasqua ebraica e cristiana</w:t>
                  </w:r>
                </w:p>
                <w:p w:rsidR="00E56697" w:rsidRPr="0031152F" w:rsidRDefault="00E56697" w:rsidP="00E56697">
                  <w:pPr>
                    <w:pStyle w:val="Paragrafoelenco"/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31152F">
                    <w:rPr>
                      <w:rFonts w:ascii="Garamond" w:hAnsi="Garamond"/>
                      <w:sz w:val="32"/>
                      <w:szCs w:val="32"/>
                    </w:rPr>
                    <w:t>- Classe II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I</w:t>
                  </w:r>
                  <w:r w:rsidRPr="0031152F">
                    <w:rPr>
                      <w:rFonts w:ascii="Garamond" w:hAnsi="Garamond"/>
                      <w:sz w:val="32"/>
                      <w:szCs w:val="32"/>
                    </w:rPr>
                    <w:t xml:space="preserve">  - CD6 – Rimini</w:t>
                  </w:r>
                </w:p>
                <w:p w:rsidR="00E56697" w:rsidRDefault="00E56697" w:rsidP="00E56697"/>
              </w:txbxContent>
            </v:textbox>
          </v:shape>
        </w:pict>
      </w:r>
      <w:r w:rsidRPr="007246C1">
        <w:rPr>
          <w:sz w:val="32"/>
          <w:szCs w:val="32"/>
        </w:rPr>
        <w:t xml:space="preserve"> </w:t>
      </w:r>
    </w:p>
    <w:p w:rsidR="00E56697" w:rsidRPr="007246C1" w:rsidRDefault="00E56697" w:rsidP="00E56697">
      <w:pPr>
        <w:jc w:val="center"/>
        <w:rPr>
          <w:sz w:val="32"/>
          <w:szCs w:val="32"/>
        </w:rPr>
      </w:pPr>
    </w:p>
    <w:tbl>
      <w:tblPr>
        <w:tblpPr w:leftFromText="142" w:rightFromText="142" w:vertAnchor="page" w:horzAnchor="page" w:tblpXSpec="center" w:tblpY="2095"/>
        <w:tblOverlap w:val="never"/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/>
      </w:tblPr>
      <w:tblGrid>
        <w:gridCol w:w="1894"/>
        <w:gridCol w:w="8279"/>
      </w:tblGrid>
      <w:tr w:rsidR="00E56697" w:rsidRPr="000E5E8A" w:rsidTr="000C311D">
        <w:trPr>
          <w:jc w:val="center"/>
        </w:trPr>
        <w:tc>
          <w:tcPr>
            <w:tcW w:w="1894" w:type="dxa"/>
          </w:tcPr>
          <w:p w:rsidR="00E56697" w:rsidRPr="000E5E8A" w:rsidRDefault="00E56697" w:rsidP="000C311D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279" w:type="dxa"/>
          </w:tcPr>
          <w:p w:rsidR="00E56697" w:rsidRPr="005D4691" w:rsidRDefault="00E56697" w:rsidP="000C311D">
            <w:pPr>
              <w:rPr>
                <w:rFonts w:ascii="Garamond" w:hAnsi="Garamond"/>
                <w:color w:val="1C1C1C"/>
                <w:sz w:val="28"/>
                <w:szCs w:val="28"/>
              </w:rPr>
            </w:pPr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>Titolo dell’unità  :</w:t>
            </w:r>
            <w:r>
              <w:rPr>
                <w:rFonts w:ascii="Garamond" w:hAnsi="Garamond"/>
                <w:color w:val="1C1C1C"/>
                <w:sz w:val="28"/>
                <w:szCs w:val="28"/>
                <w:u w:val="single"/>
              </w:rPr>
              <w:t>Pasqua Ebraica e Cristiana</w:t>
            </w:r>
            <w:r>
              <w:rPr>
                <w:rFonts w:ascii="Garamond" w:hAnsi="Garamond"/>
                <w:color w:val="1C1C1C"/>
                <w:sz w:val="28"/>
                <w:szCs w:val="28"/>
                <w:u w:val="single"/>
              </w:rPr>
              <w:br/>
            </w:r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>IRC-</w:t>
            </w:r>
            <w:r>
              <w:rPr>
                <w:rFonts w:ascii="Garamond" w:hAnsi="Garamond"/>
                <w:color w:val="1C1C1C"/>
                <w:sz w:val="28"/>
                <w:szCs w:val="28"/>
              </w:rPr>
              <w:t>14_00300_2016</w:t>
            </w:r>
          </w:p>
          <w:p w:rsidR="00E56697" w:rsidRPr="007B3EC6" w:rsidRDefault="00E56697" w:rsidP="000C311D">
            <w:pPr>
              <w:rPr>
                <w:rFonts w:ascii="Garamond" w:hAnsi="Garamond"/>
                <w:color w:val="1C1C1C"/>
                <w:sz w:val="28"/>
                <w:szCs w:val="28"/>
                <w:u w:val="single"/>
              </w:rPr>
            </w:pPr>
            <w:proofErr w:type="spellStart"/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>UdC</w:t>
            </w:r>
            <w:proofErr w:type="spellEnd"/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 xml:space="preserve"> IRC n. </w:t>
            </w:r>
            <w:r>
              <w:rPr>
                <w:rFonts w:ascii="Garamond" w:hAnsi="Garamond"/>
                <w:color w:val="1C1C1C"/>
                <w:sz w:val="28"/>
                <w:szCs w:val="28"/>
              </w:rPr>
              <w:t>13 (versione 2)</w:t>
            </w:r>
          </w:p>
        </w:tc>
      </w:tr>
      <w:tr w:rsidR="00E56697" w:rsidRPr="000E5E8A" w:rsidTr="000C311D">
        <w:trPr>
          <w:jc w:val="center"/>
        </w:trPr>
        <w:tc>
          <w:tcPr>
            <w:tcW w:w="1894" w:type="dxa"/>
          </w:tcPr>
          <w:p w:rsidR="00E56697" w:rsidRPr="000E5E8A" w:rsidRDefault="00E56697" w:rsidP="000C311D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279" w:type="dxa"/>
          </w:tcPr>
          <w:p w:rsidR="00E56697" w:rsidRPr="000E5E8A" w:rsidRDefault="00E56697" w:rsidP="000C311D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Disciplinare          </w:t>
            </w:r>
          </w:p>
        </w:tc>
      </w:tr>
      <w:tr w:rsidR="00E56697" w:rsidRPr="003E46D4" w:rsidTr="000C311D">
        <w:trPr>
          <w:jc w:val="center"/>
        </w:trPr>
        <w:tc>
          <w:tcPr>
            <w:tcW w:w="1894" w:type="dxa"/>
          </w:tcPr>
          <w:p w:rsidR="00E56697" w:rsidRPr="003E46D4" w:rsidRDefault="00E56697" w:rsidP="000C311D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</w:p>
        </w:tc>
        <w:tc>
          <w:tcPr>
            <w:tcW w:w="8279" w:type="dxa"/>
          </w:tcPr>
          <w:p w:rsidR="00E56697" w:rsidRPr="003E46D4" w:rsidRDefault="00E56697" w:rsidP="000C311D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RELIGIONE</w:t>
            </w:r>
          </w:p>
        </w:tc>
      </w:tr>
      <w:tr w:rsidR="00E56697" w:rsidRPr="003E46D4" w:rsidTr="000C311D">
        <w:trPr>
          <w:jc w:val="center"/>
        </w:trPr>
        <w:tc>
          <w:tcPr>
            <w:tcW w:w="1894" w:type="dxa"/>
          </w:tcPr>
          <w:p w:rsidR="00E56697" w:rsidRPr="003E46D4" w:rsidRDefault="00E56697" w:rsidP="000C311D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279" w:type="dxa"/>
          </w:tcPr>
          <w:p w:rsidR="00E56697" w:rsidRPr="003E46D4" w:rsidRDefault="00E56697" w:rsidP="000C311D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E56697" w:rsidRPr="003E46D4" w:rsidTr="000C311D">
        <w:trPr>
          <w:jc w:val="center"/>
        </w:trPr>
        <w:tc>
          <w:tcPr>
            <w:tcW w:w="1894" w:type="dxa"/>
          </w:tcPr>
          <w:p w:rsidR="00E56697" w:rsidRPr="003E46D4" w:rsidRDefault="00E56697" w:rsidP="000C311D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279" w:type="dxa"/>
          </w:tcPr>
          <w:p w:rsidR="00E56697" w:rsidRPr="005504C4" w:rsidRDefault="00E56697" w:rsidP="000C311D">
            <w:pPr>
              <w:autoSpaceDE w:val="0"/>
              <w:ind w:firstLine="6"/>
              <w:rPr>
                <w:rFonts w:ascii="Garamond" w:hAnsi="Garamond"/>
              </w:rPr>
            </w:pPr>
            <w:r w:rsidRPr="007B3EC6">
              <w:rPr>
                <w:rFonts w:ascii="Garamond" w:hAnsi="Garamond"/>
                <w:sz w:val="22"/>
                <w:szCs w:val="22"/>
              </w:rPr>
              <w:t>-</w:t>
            </w:r>
            <w:r w:rsidRPr="005504C4">
              <w:rPr>
                <w:rFonts w:ascii="Garamond" w:hAnsi="Garamond"/>
              </w:rPr>
              <w:t xml:space="preserve">Lo studente </w:t>
            </w:r>
          </w:p>
          <w:p w:rsidR="00E56697" w:rsidRPr="005504C4" w:rsidRDefault="00E56697" w:rsidP="000C311D">
            <w:pPr>
              <w:autoSpaceDE w:val="0"/>
              <w:ind w:firstLine="6"/>
              <w:rPr>
                <w:rFonts w:ascii="Garamond" w:hAnsi="Garamond"/>
              </w:rPr>
            </w:pPr>
            <w:r w:rsidRPr="005504C4">
              <w:rPr>
                <w:rFonts w:ascii="Garamond" w:hAnsi="Garamond"/>
              </w:rPr>
              <w:t>Utilizza  gli strumenti di conoscenza per comprendere se stesso e gli altri, per riconoscere ed apprezzare le diverse identità, le tradizioni culturali e religiose, in un’ottica di dialogo e rispetto reciproco</w:t>
            </w:r>
          </w:p>
          <w:p w:rsidR="00E56697" w:rsidRPr="003E46D4" w:rsidRDefault="00E56697" w:rsidP="000C311D">
            <w:pPr>
              <w:autoSpaceDE w:val="0"/>
              <w:ind w:firstLine="6"/>
              <w:rPr>
                <w:rFonts w:ascii="Garamond" w:hAnsi="Garamond"/>
              </w:rPr>
            </w:pPr>
            <w:r w:rsidRPr="005504C4">
              <w:rPr>
                <w:rFonts w:ascii="Garamond" w:hAnsi="Garamond"/>
                <w:color w:val="1C1C1C"/>
              </w:rPr>
              <w:t>Interpreta i sistemi</w:t>
            </w:r>
            <w:r w:rsidRPr="00ED61E5">
              <w:rPr>
                <w:rFonts w:ascii="Garamond" w:hAnsi="Garamond"/>
                <w:color w:val="1C1C1C"/>
              </w:rPr>
              <w:t xml:space="preserve"> simbolici e culturali della società, orienta le proprie scelte in modo consapevole, rispetta le regole condivise, collabora con gli altri per la costruzione del bene comune esprimendo le proprie personali opinioni e sensibilità.</w:t>
            </w:r>
          </w:p>
        </w:tc>
      </w:tr>
      <w:tr w:rsidR="00E56697" w:rsidRPr="00E56697" w:rsidTr="000C311D">
        <w:trPr>
          <w:jc w:val="center"/>
        </w:trPr>
        <w:tc>
          <w:tcPr>
            <w:tcW w:w="1894" w:type="dxa"/>
          </w:tcPr>
          <w:p w:rsidR="00E56697" w:rsidRPr="00E56697" w:rsidRDefault="00E56697" w:rsidP="000C311D">
            <w:pPr>
              <w:autoSpaceDE w:val="0"/>
              <w:ind w:firstLine="8"/>
              <w:rPr>
                <w:rFonts w:ascii="Garamond" w:hAnsi="Garamond"/>
              </w:rPr>
            </w:pPr>
            <w:r w:rsidRPr="00E56697">
              <w:rPr>
                <w:rFonts w:ascii="Garamond" w:hAnsi="Garamond"/>
              </w:rPr>
              <w:t>Traguardi di competenza</w:t>
            </w:r>
          </w:p>
        </w:tc>
        <w:tc>
          <w:tcPr>
            <w:tcW w:w="8279" w:type="dxa"/>
          </w:tcPr>
          <w:p w:rsidR="00E56697" w:rsidRPr="00E56697" w:rsidRDefault="00E56697" w:rsidP="00E56697">
            <w:pPr>
              <w:rPr>
                <w:rFonts w:ascii="Garamond" w:hAnsi="Garamond"/>
                <w:color w:val="1C1C1C"/>
              </w:rPr>
            </w:pPr>
            <w:r w:rsidRPr="00E56697">
              <w:rPr>
                <w:rFonts w:ascii="Garamond" w:hAnsi="Garamond"/>
                <w:color w:val="1C1C1C"/>
              </w:rPr>
              <w:t>L’alunno comprende  il senso di continuità tra Pasqua Ebraica e Pasqua Cristiana per coglierne anche oggi la ricca simbologia e la portata grandiosa dell’avvenimento di vita eterna testimoniato da Gesù.</w:t>
            </w:r>
          </w:p>
        </w:tc>
      </w:tr>
      <w:tr w:rsidR="00E56697" w:rsidRPr="00E56697" w:rsidTr="000C311D">
        <w:trPr>
          <w:trHeight w:val="921"/>
          <w:jc w:val="center"/>
        </w:trPr>
        <w:tc>
          <w:tcPr>
            <w:tcW w:w="1894" w:type="dxa"/>
          </w:tcPr>
          <w:p w:rsidR="00E56697" w:rsidRPr="00E56697" w:rsidRDefault="00E56697" w:rsidP="000C311D">
            <w:pPr>
              <w:autoSpaceDE w:val="0"/>
              <w:ind w:firstLine="8"/>
              <w:rPr>
                <w:rFonts w:ascii="Garamond" w:hAnsi="Garamond"/>
              </w:rPr>
            </w:pPr>
            <w:r w:rsidRPr="00E56697">
              <w:rPr>
                <w:rFonts w:ascii="Garamond" w:hAnsi="Garamond"/>
              </w:rPr>
              <w:t>Obiettivi di apprendimento</w:t>
            </w:r>
          </w:p>
        </w:tc>
        <w:tc>
          <w:tcPr>
            <w:tcW w:w="8279" w:type="dxa"/>
          </w:tcPr>
          <w:p w:rsidR="00E56697" w:rsidRDefault="00E56697" w:rsidP="00E56697">
            <w:pPr>
              <w:numPr>
                <w:ilvl w:val="0"/>
                <w:numId w:val="3"/>
              </w:numPr>
              <w:rPr>
                <w:rFonts w:ascii="Garamond" w:hAnsi="Garamond"/>
                <w:color w:val="1C1C1C"/>
              </w:rPr>
            </w:pPr>
            <w:r w:rsidRPr="00E56697">
              <w:rPr>
                <w:rFonts w:ascii="Garamond" w:hAnsi="Garamond"/>
                <w:color w:val="1C1C1C"/>
              </w:rPr>
              <w:t xml:space="preserve">Conoscere origine, riti e significati della festa pasquale ebraica. </w:t>
            </w:r>
          </w:p>
          <w:p w:rsidR="00E56697" w:rsidRPr="00E56697" w:rsidRDefault="00E56697" w:rsidP="00E56697">
            <w:pPr>
              <w:numPr>
                <w:ilvl w:val="0"/>
                <w:numId w:val="3"/>
              </w:numPr>
              <w:rPr>
                <w:rFonts w:ascii="Garamond" w:hAnsi="Garamond"/>
                <w:color w:val="1C1C1C"/>
              </w:rPr>
            </w:pPr>
            <w:r w:rsidRPr="00E56697">
              <w:rPr>
                <w:rFonts w:ascii="Garamond" w:hAnsi="Garamond"/>
                <w:color w:val="1C1C1C"/>
              </w:rPr>
              <w:t>Comprendere gli avvenimenti della Pasqua Cristiana.</w:t>
            </w:r>
          </w:p>
          <w:p w:rsidR="00E56697" w:rsidRPr="00E56697" w:rsidRDefault="00E56697" w:rsidP="00E56697">
            <w:pPr>
              <w:numPr>
                <w:ilvl w:val="0"/>
                <w:numId w:val="3"/>
              </w:numPr>
              <w:rPr>
                <w:rFonts w:ascii="Garamond" w:hAnsi="Garamond"/>
                <w:color w:val="1C1C1C"/>
              </w:rPr>
            </w:pPr>
            <w:r w:rsidRPr="00E56697">
              <w:rPr>
                <w:rFonts w:ascii="Garamond" w:hAnsi="Garamond"/>
                <w:color w:val="1C1C1C"/>
              </w:rPr>
              <w:t xml:space="preserve">Confrontare il significato della Pasqua Ebraica e di quella Cristiana cogliendone i simboli e l’idea di possibilità eterna. </w:t>
            </w:r>
          </w:p>
        </w:tc>
      </w:tr>
      <w:tr w:rsidR="00E56697" w:rsidRPr="00E56697" w:rsidTr="000C311D">
        <w:trPr>
          <w:jc w:val="center"/>
        </w:trPr>
        <w:tc>
          <w:tcPr>
            <w:tcW w:w="1894" w:type="dxa"/>
          </w:tcPr>
          <w:p w:rsidR="00E56697" w:rsidRPr="00E56697" w:rsidRDefault="00E56697" w:rsidP="000C311D">
            <w:pPr>
              <w:autoSpaceDE w:val="0"/>
              <w:ind w:firstLine="8"/>
              <w:rPr>
                <w:rFonts w:ascii="Garamond" w:hAnsi="Garamond"/>
              </w:rPr>
            </w:pPr>
            <w:r w:rsidRPr="00E56697">
              <w:rPr>
                <w:rFonts w:ascii="Garamond" w:hAnsi="Garamond"/>
              </w:rPr>
              <w:t>Contenuti</w:t>
            </w:r>
          </w:p>
        </w:tc>
        <w:tc>
          <w:tcPr>
            <w:tcW w:w="8279" w:type="dxa"/>
          </w:tcPr>
          <w:p w:rsidR="00E56697" w:rsidRPr="00E56697" w:rsidRDefault="00E56697" w:rsidP="00E56697">
            <w:pPr>
              <w:spacing w:after="200" w:line="276" w:lineRule="auto"/>
              <w:rPr>
                <w:rFonts w:ascii="Garamond" w:hAnsi="Garamond"/>
                <w:color w:val="1C1C1C"/>
              </w:rPr>
            </w:pPr>
            <w:r w:rsidRPr="00E56697">
              <w:rPr>
                <w:rFonts w:ascii="Garamond" w:hAnsi="Garamond"/>
              </w:rPr>
              <w:t xml:space="preserve">Esodo,  significato e testi: </w:t>
            </w:r>
            <w:r w:rsidRPr="00E56697">
              <w:rPr>
                <w:rFonts w:ascii="Garamond" w:hAnsi="Garamond"/>
                <w:color w:val="1C1C1C"/>
              </w:rPr>
              <w:t xml:space="preserve"> le piaghe, la cena degli azzimi, il passaggio dal mar Rosso (Es. 10;13;15). L’ultima cena di Gesù  in </w:t>
            </w:r>
            <w:proofErr w:type="spellStart"/>
            <w:r w:rsidRPr="00E56697">
              <w:rPr>
                <w:rFonts w:ascii="Garamond" w:hAnsi="Garamond"/>
                <w:color w:val="1C1C1C"/>
              </w:rPr>
              <w:t>Lc</w:t>
            </w:r>
            <w:proofErr w:type="spellEnd"/>
            <w:r w:rsidRPr="00E56697">
              <w:rPr>
                <w:rFonts w:ascii="Garamond" w:hAnsi="Garamond"/>
                <w:color w:val="1C1C1C"/>
              </w:rPr>
              <w:t xml:space="preserve">. 22,14-20. </w:t>
            </w:r>
          </w:p>
        </w:tc>
      </w:tr>
      <w:tr w:rsidR="00E56697" w:rsidRPr="00E56697" w:rsidTr="000C311D">
        <w:trPr>
          <w:jc w:val="center"/>
        </w:trPr>
        <w:tc>
          <w:tcPr>
            <w:tcW w:w="1894" w:type="dxa"/>
          </w:tcPr>
          <w:p w:rsidR="00E56697" w:rsidRPr="00E56697" w:rsidRDefault="00E56697" w:rsidP="000C311D">
            <w:pPr>
              <w:autoSpaceDE w:val="0"/>
              <w:rPr>
                <w:rFonts w:ascii="Garamond" w:hAnsi="Garamond"/>
              </w:rPr>
            </w:pPr>
            <w:r w:rsidRPr="00E56697">
              <w:rPr>
                <w:rFonts w:ascii="Garamond" w:hAnsi="Garamond"/>
              </w:rPr>
              <w:t>Percorso educativo e didattico</w:t>
            </w:r>
          </w:p>
        </w:tc>
        <w:tc>
          <w:tcPr>
            <w:tcW w:w="8279" w:type="dxa"/>
          </w:tcPr>
          <w:p w:rsidR="00E56697" w:rsidRPr="00E56697" w:rsidRDefault="00E56697" w:rsidP="000C311D">
            <w:pPr>
              <w:autoSpaceDE w:val="0"/>
              <w:ind w:firstLine="6"/>
              <w:rPr>
                <w:rFonts w:ascii="Garamond" w:hAnsi="Garamond"/>
              </w:rPr>
            </w:pPr>
            <w:r w:rsidRPr="00E56697">
              <w:rPr>
                <w:rFonts w:ascii="Garamond" w:hAnsi="Garamond"/>
              </w:rPr>
              <w:t>ATTIVITA’, ESPERIENZE, METODOLOGIE E STRUMENTI</w:t>
            </w:r>
          </w:p>
          <w:p w:rsidR="00E56697" w:rsidRPr="00E56697" w:rsidRDefault="00E56697" w:rsidP="00E56697">
            <w:pPr>
              <w:numPr>
                <w:ilvl w:val="0"/>
                <w:numId w:val="4"/>
              </w:numPr>
              <w:rPr>
                <w:rFonts w:ascii="Garamond" w:hAnsi="Garamond"/>
                <w:color w:val="1C1C1C"/>
              </w:rPr>
            </w:pPr>
            <w:r w:rsidRPr="00E56697">
              <w:rPr>
                <w:rFonts w:ascii="Garamond" w:hAnsi="Garamond"/>
                <w:color w:val="1C1C1C"/>
              </w:rPr>
              <w:t>Racconto a fumetti della cena pasquale ebraica (</w:t>
            </w:r>
            <w:proofErr w:type="spellStart"/>
            <w:r w:rsidRPr="00E56697">
              <w:rPr>
                <w:rFonts w:ascii="Garamond" w:hAnsi="Garamond"/>
                <w:color w:val="1C1C1C"/>
              </w:rPr>
              <w:t>Pesach</w:t>
            </w:r>
            <w:proofErr w:type="spellEnd"/>
            <w:r w:rsidRPr="00E56697">
              <w:rPr>
                <w:rFonts w:ascii="Garamond" w:hAnsi="Garamond"/>
                <w:color w:val="1C1C1C"/>
              </w:rPr>
              <w:t xml:space="preserve">): riti e significati che gli ebrei si tramandano da secoli per non dimenticare la liberazione dalla schiavitù d’Egitto. Racconti e drammatizzazioni sull’esperienza storico-religiosa dell’Esodo. </w:t>
            </w:r>
          </w:p>
          <w:p w:rsidR="00E56697" w:rsidRPr="00E56697" w:rsidRDefault="00E56697" w:rsidP="00E56697">
            <w:pPr>
              <w:numPr>
                <w:ilvl w:val="0"/>
                <w:numId w:val="4"/>
              </w:numPr>
              <w:rPr>
                <w:rFonts w:ascii="Garamond" w:hAnsi="Garamond"/>
                <w:color w:val="1C1C1C"/>
              </w:rPr>
            </w:pPr>
            <w:r w:rsidRPr="00E56697">
              <w:rPr>
                <w:rFonts w:ascii="Garamond" w:hAnsi="Garamond"/>
                <w:color w:val="1C1C1C"/>
              </w:rPr>
              <w:t>Lettura del libro di testo o di schede preparate precedentemente e attività operative in particolare sulla cena pasquale celebrata ogni anno dagli Ebrei, condivisa con i suoi discepoli in cui lo spezzare il pane e versare il vino diventano gesti profetici di ciò che sarebbe avvenuto il giorno dopo.</w:t>
            </w:r>
          </w:p>
          <w:p w:rsidR="00E56697" w:rsidRPr="00E56697" w:rsidRDefault="00E56697" w:rsidP="00E56697">
            <w:pPr>
              <w:numPr>
                <w:ilvl w:val="0"/>
                <w:numId w:val="4"/>
              </w:numPr>
              <w:rPr>
                <w:rFonts w:ascii="Garamond" w:hAnsi="Garamond"/>
                <w:color w:val="1C1C1C"/>
              </w:rPr>
            </w:pPr>
            <w:r w:rsidRPr="00E56697">
              <w:rPr>
                <w:rFonts w:ascii="Garamond" w:hAnsi="Garamond"/>
                <w:color w:val="1C1C1C"/>
              </w:rPr>
              <w:t>Scheda riassuntiva e parallela da riordinare con gli avvenimenti delle “due” Pasque.</w:t>
            </w:r>
          </w:p>
        </w:tc>
      </w:tr>
      <w:tr w:rsidR="00E56697" w:rsidRPr="00E56697" w:rsidTr="000C311D">
        <w:trPr>
          <w:jc w:val="center"/>
        </w:trPr>
        <w:tc>
          <w:tcPr>
            <w:tcW w:w="1894" w:type="dxa"/>
          </w:tcPr>
          <w:p w:rsidR="00E56697" w:rsidRPr="00E56697" w:rsidRDefault="00E56697" w:rsidP="000C311D">
            <w:pPr>
              <w:autoSpaceDE w:val="0"/>
              <w:rPr>
                <w:rFonts w:ascii="Garamond" w:hAnsi="Garamond"/>
              </w:rPr>
            </w:pPr>
            <w:r w:rsidRPr="00E56697">
              <w:rPr>
                <w:rFonts w:ascii="Garamond" w:hAnsi="Garamond"/>
              </w:rPr>
              <w:t>Valutazione</w:t>
            </w:r>
          </w:p>
        </w:tc>
        <w:tc>
          <w:tcPr>
            <w:tcW w:w="8279" w:type="dxa"/>
          </w:tcPr>
          <w:p w:rsidR="00E56697" w:rsidRPr="00E56697" w:rsidRDefault="00E56697" w:rsidP="000C311D">
            <w:pPr>
              <w:autoSpaceDE w:val="0"/>
              <w:ind w:firstLine="6"/>
              <w:rPr>
                <w:rFonts w:ascii="Garamond" w:hAnsi="Garamond"/>
              </w:rPr>
            </w:pPr>
            <w:r w:rsidRPr="00E56697">
              <w:rPr>
                <w:rFonts w:ascii="Garamond" w:hAnsi="Garamond"/>
                <w:color w:val="1C1C1C"/>
              </w:rPr>
              <w:t xml:space="preserve">Schede </w:t>
            </w:r>
            <w:proofErr w:type="spellStart"/>
            <w:r w:rsidRPr="00E56697">
              <w:rPr>
                <w:rFonts w:ascii="Garamond" w:hAnsi="Garamond"/>
                <w:color w:val="1C1C1C"/>
              </w:rPr>
              <w:t>memory</w:t>
            </w:r>
            <w:proofErr w:type="spellEnd"/>
            <w:r w:rsidRPr="00E56697">
              <w:rPr>
                <w:rFonts w:ascii="Garamond" w:hAnsi="Garamond"/>
                <w:color w:val="1C1C1C"/>
              </w:rPr>
              <w:t xml:space="preserve"> e descrittive sui cibi della pasqua Ebraica. Schede operative sul passaggio dal Mar rosso e sulla Settimana Santa. Domande multiple sulla festa principale per Ebrei e Cristiani e sui suoi significati paralleli.</w:t>
            </w:r>
          </w:p>
        </w:tc>
      </w:tr>
      <w:tr w:rsidR="00E56697" w:rsidRPr="00E56697" w:rsidTr="000C311D">
        <w:trPr>
          <w:jc w:val="center"/>
        </w:trPr>
        <w:tc>
          <w:tcPr>
            <w:tcW w:w="1894" w:type="dxa"/>
          </w:tcPr>
          <w:p w:rsidR="00E56697" w:rsidRPr="00E56697" w:rsidRDefault="00E56697" w:rsidP="000C311D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E56697">
              <w:rPr>
                <w:rFonts w:ascii="Garamond" w:hAnsi="Garamond"/>
              </w:rPr>
              <w:t xml:space="preserve">Raccordi </w:t>
            </w:r>
            <w:proofErr w:type="spellStart"/>
            <w:r w:rsidRPr="00E56697">
              <w:rPr>
                <w:rFonts w:ascii="Garamond" w:hAnsi="Garamond"/>
              </w:rPr>
              <w:t>discipl</w:t>
            </w:r>
            <w:proofErr w:type="spellEnd"/>
            <w:r w:rsidRPr="00E56697">
              <w:rPr>
                <w:rFonts w:ascii="Garamond" w:hAnsi="Garamond"/>
              </w:rPr>
              <w:t>.</w:t>
            </w:r>
          </w:p>
        </w:tc>
        <w:tc>
          <w:tcPr>
            <w:tcW w:w="8279" w:type="dxa"/>
          </w:tcPr>
          <w:p w:rsidR="00E56697" w:rsidRPr="00E56697" w:rsidRDefault="00E56697" w:rsidP="000C311D">
            <w:pPr>
              <w:autoSpaceDE w:val="0"/>
              <w:ind w:firstLine="6"/>
              <w:rPr>
                <w:rFonts w:ascii="Garamond" w:hAnsi="Garamond"/>
              </w:rPr>
            </w:pPr>
            <w:r w:rsidRPr="00E56697">
              <w:rPr>
                <w:rFonts w:ascii="Garamond" w:hAnsi="Garamond"/>
              </w:rPr>
              <w:t>Scienze, storia, geografia, lingua italiana, arte e immagine, ed. musicale.</w:t>
            </w:r>
          </w:p>
        </w:tc>
      </w:tr>
    </w:tbl>
    <w:p w:rsidR="00E56697" w:rsidRPr="00E56697" w:rsidRDefault="00E56697" w:rsidP="00E56697">
      <w:pPr>
        <w:jc w:val="center"/>
        <w:rPr>
          <w:rFonts w:ascii="Garamond" w:hAnsi="Garamond"/>
        </w:rPr>
      </w:pPr>
    </w:p>
    <w:p w:rsidR="00887F4E" w:rsidRDefault="006951F6"/>
    <w:sectPr w:rsidR="00887F4E" w:rsidSect="007B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4C7"/>
    <w:multiLevelType w:val="hybridMultilevel"/>
    <w:tmpl w:val="6C824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3D02"/>
    <w:multiLevelType w:val="hybridMultilevel"/>
    <w:tmpl w:val="2C900C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53DB"/>
    <w:multiLevelType w:val="hybridMultilevel"/>
    <w:tmpl w:val="6060D9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9BA"/>
    <w:multiLevelType w:val="hybridMultilevel"/>
    <w:tmpl w:val="6C824FCA"/>
    <w:lvl w:ilvl="0" w:tplc="0410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6697"/>
    <w:rsid w:val="00197B2F"/>
    <w:rsid w:val="005816DC"/>
    <w:rsid w:val="006951F6"/>
    <w:rsid w:val="00726FC3"/>
    <w:rsid w:val="00E5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69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2017-10-28T21:23:00Z</dcterms:created>
  <dcterms:modified xsi:type="dcterms:W3CDTF">2017-10-28T21:31:00Z</dcterms:modified>
</cp:coreProperties>
</file>